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29" w:rsidRPr="001C03D2" w:rsidRDefault="00B56229" w:rsidP="0025256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03D2">
        <w:rPr>
          <w:rFonts w:ascii="Times New Roman" w:hAnsi="Times New Roman" w:cs="Times New Roman"/>
          <w:sz w:val="24"/>
          <w:szCs w:val="24"/>
        </w:rPr>
        <w:t>Питања за 6. недељу</w:t>
      </w:r>
      <w:r w:rsidR="001C03D2" w:rsidRPr="001C03D2">
        <w:rPr>
          <w:rFonts w:ascii="Times New Roman" w:hAnsi="Times New Roman" w:cs="Times New Roman"/>
          <w:sz w:val="24"/>
          <w:szCs w:val="24"/>
          <w:lang/>
        </w:rPr>
        <w:t xml:space="preserve"> наставе</w:t>
      </w:r>
      <w:r w:rsidRPr="001C03D2">
        <w:rPr>
          <w:rFonts w:ascii="Times New Roman" w:hAnsi="Times New Roman" w:cs="Times New Roman"/>
          <w:sz w:val="24"/>
          <w:szCs w:val="24"/>
        </w:rPr>
        <w:t xml:space="preserve"> – Орална хирургија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Појам дентогене инф</w:t>
      </w:r>
      <w:r w:rsidR="0025256E" w:rsidRPr="001C03D2">
        <w:rPr>
          <w:rFonts w:ascii="Times New Roman" w:hAnsi="Times New Roman" w:cs="Times New Roman"/>
          <w:sz w:val="24"/>
          <w:szCs w:val="24"/>
        </w:rPr>
        <w:t>екције и фактори  који</w:t>
      </w:r>
      <w:r w:rsidRPr="001C03D2">
        <w:rPr>
          <w:rFonts w:ascii="Times New Roman" w:hAnsi="Times New Roman" w:cs="Times New Roman"/>
          <w:sz w:val="24"/>
          <w:szCs w:val="24"/>
        </w:rPr>
        <w:t xml:space="preserve"> утичу на  ширење дентогене инфекције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Типови дентогених инфекција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Фазе развоја дентогених инфекција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Клиничка слика инфекције сублингвалног простора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Клиничка слика инфекције субмандибуларног простора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Клиничка слика инфекције субменталног простора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Клиничка слика инфекције образног простора</w:t>
      </w:r>
    </w:p>
    <w:p w:rsidR="00B56229" w:rsidRPr="001C03D2" w:rsidRDefault="00F374DF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 xml:space="preserve">Клиничка слика инфекције </w:t>
      </w:r>
      <w:r w:rsidR="00B56229" w:rsidRPr="001C03D2">
        <w:rPr>
          <w:rFonts w:ascii="Times New Roman" w:hAnsi="Times New Roman" w:cs="Times New Roman"/>
          <w:sz w:val="24"/>
          <w:szCs w:val="24"/>
        </w:rPr>
        <w:t>масетеричног и птеригомандибуларног простора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Клиничка слика инфекције очњачке јаме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Флегмона пода уста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Диференцијална дијагноза акутних дентогених инфекција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Конзервативно лечење дентогених инфекција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Хируршко лечење дентогених инфекција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Компликације дентогених инфекција: остеомијелитис</w:t>
      </w:r>
    </w:p>
    <w:p w:rsidR="00B56229" w:rsidRPr="001C03D2" w:rsidRDefault="00B56229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</w:rPr>
        <w:t>Компликације дентогених инфекција: хронични субкутани апсцес и тромбоза кавернозног синуса</w:t>
      </w:r>
    </w:p>
    <w:p w:rsidR="007061C2" w:rsidRPr="001C03D2" w:rsidRDefault="007061C2" w:rsidP="002525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C03D2">
        <w:rPr>
          <w:rFonts w:ascii="Times New Roman" w:hAnsi="Times New Roman" w:cs="Times New Roman"/>
          <w:sz w:val="24"/>
          <w:szCs w:val="24"/>
          <w:lang/>
        </w:rPr>
        <w:t>Вађење узрочника дентогене инфекције као услов за правилну хируршку терапију. Индикације и релативне контраиндикације.</w:t>
      </w:r>
    </w:p>
    <w:sectPr w:rsidR="007061C2" w:rsidRPr="001C03D2" w:rsidSect="00C100E5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4543B"/>
    <w:multiLevelType w:val="hybridMultilevel"/>
    <w:tmpl w:val="52F26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56229"/>
    <w:rsid w:val="001C03D2"/>
    <w:rsid w:val="0025256E"/>
    <w:rsid w:val="007061C2"/>
    <w:rsid w:val="007157E2"/>
    <w:rsid w:val="007243C8"/>
    <w:rsid w:val="00803509"/>
    <w:rsid w:val="00B56229"/>
    <w:rsid w:val="00C100E5"/>
    <w:rsid w:val="00F37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E1093-7CD6-474A-8091-60CD7339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2</cp:revision>
  <dcterms:created xsi:type="dcterms:W3CDTF">2017-09-04T08:59:00Z</dcterms:created>
  <dcterms:modified xsi:type="dcterms:W3CDTF">2017-09-04T08:59:00Z</dcterms:modified>
</cp:coreProperties>
</file>